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Finspång kommunfullmäktige</w:t>
      </w:r>
    </w:p>
    <w:p>
      <w:pPr>
        <w:pStyle w:val="Heading1"/>
      </w:pPr>
      <w:r>
        <w:t xml:space="preserve">Digitalisera medborgarservice och öppna kommunal data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Finspång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Finspångs e-förvaltningsindex ligger under genomsnittet (2024). Medborgare efterfrågar enklare digital kontakt med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Finspång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samlad digital medborgarportal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all icke-personlig kommunal data som öppna data.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e-tjänster för de 20 vanligaste ärendetyperna.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digitaliseringsgrad och medborgarnöjdhet årligen.</w:t>
      </w:r>
    </w:p>
    <w:p>
      <w:pPr>
        <w:spacing w:before="360"/>
      </w:pPr>
    </w:p>
    <w:p>
      <w:r>
        <w:t xml:space="preserve">Finspång,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Finspång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2026-07-14T02:56:44.358Z</dcterms:created>
  <dcterms:modified xsi:type="dcterms:W3CDTF">2026-07-14T02:56:44.358Z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